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A0CFA" w14:textId="77777777" w:rsidR="00295357" w:rsidRPr="00F1547E" w:rsidRDefault="00295357" w:rsidP="00295357">
      <w:pPr>
        <w:rPr>
          <w:rFonts w:ascii="Times New Roman" w:hAnsi="Times New Roman" w:cs="Times New Roman"/>
          <w:sz w:val="24"/>
          <w:szCs w:val="24"/>
        </w:rPr>
      </w:pPr>
      <w:r w:rsidRPr="00F1547E">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3A513C5A" wp14:editId="59851559">
            <wp:simplePos x="0" y="0"/>
            <wp:positionH relativeFrom="margin">
              <wp:align>center</wp:align>
            </wp:positionH>
            <wp:positionV relativeFrom="paragraph">
              <wp:posOffset>12065</wp:posOffset>
            </wp:positionV>
            <wp:extent cx="1143000" cy="723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723900"/>
                    </a:xfrm>
                    <a:prstGeom prst="rect">
                      <a:avLst/>
                    </a:prstGeom>
                    <a:noFill/>
                    <a:ln>
                      <a:noFill/>
                    </a:ln>
                  </pic:spPr>
                </pic:pic>
              </a:graphicData>
            </a:graphic>
          </wp:anchor>
        </w:drawing>
      </w:r>
    </w:p>
    <w:p w14:paraId="19E09A9B" w14:textId="77777777" w:rsidR="00295357" w:rsidRPr="00F1547E" w:rsidRDefault="00295357" w:rsidP="00295357">
      <w:pPr>
        <w:rPr>
          <w:rFonts w:ascii="Times New Roman" w:hAnsi="Times New Roman" w:cs="Times New Roman"/>
          <w:sz w:val="24"/>
          <w:szCs w:val="24"/>
        </w:rPr>
      </w:pPr>
    </w:p>
    <w:p w14:paraId="5897E03C" w14:textId="77777777" w:rsidR="00295357" w:rsidRPr="00F1547E" w:rsidRDefault="00295357" w:rsidP="00295357">
      <w:pPr>
        <w:jc w:val="center"/>
        <w:rPr>
          <w:rFonts w:ascii="Times New Roman" w:hAnsi="Times New Roman" w:cs="Times New Roman"/>
          <w:sz w:val="24"/>
          <w:szCs w:val="24"/>
        </w:rPr>
      </w:pPr>
    </w:p>
    <w:p w14:paraId="765B1945" w14:textId="77777777" w:rsidR="00295357" w:rsidRPr="00F1547E" w:rsidRDefault="00295357" w:rsidP="00295357">
      <w:pPr>
        <w:spacing w:line="276" w:lineRule="auto"/>
        <w:jc w:val="center"/>
        <w:outlineLvl w:val="0"/>
        <w:rPr>
          <w:rFonts w:ascii="Times New Roman" w:hAnsi="Times New Roman" w:cs="Times New Roman"/>
          <w:b/>
          <w:sz w:val="24"/>
          <w:szCs w:val="24"/>
        </w:rPr>
      </w:pPr>
    </w:p>
    <w:p w14:paraId="3700C239" w14:textId="77777777" w:rsidR="00295357" w:rsidRPr="00F1547E" w:rsidRDefault="00295357" w:rsidP="00295357">
      <w:pPr>
        <w:spacing w:line="276" w:lineRule="auto"/>
        <w:jc w:val="center"/>
        <w:outlineLvl w:val="0"/>
        <w:rPr>
          <w:rFonts w:ascii="Times New Roman" w:hAnsi="Times New Roman" w:cs="Times New Roman"/>
          <w:b/>
          <w:sz w:val="24"/>
          <w:szCs w:val="24"/>
        </w:rPr>
      </w:pPr>
    </w:p>
    <w:p w14:paraId="7EE82208" w14:textId="614DF64E" w:rsidR="00295357" w:rsidRPr="00F1547E" w:rsidRDefault="009753DB" w:rsidP="00295357">
      <w:pPr>
        <w:tabs>
          <w:tab w:val="left" w:pos="2805"/>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EU Key </w:t>
      </w:r>
      <w:r w:rsidR="00295357" w:rsidRPr="00F1547E">
        <w:rPr>
          <w:rFonts w:ascii="Times New Roman" w:hAnsi="Times New Roman" w:cs="Times New Roman"/>
          <w:b/>
          <w:sz w:val="24"/>
          <w:szCs w:val="24"/>
        </w:rPr>
        <w:t>Messages</w:t>
      </w:r>
    </w:p>
    <w:p w14:paraId="4DB8F851" w14:textId="77777777" w:rsidR="0061573E" w:rsidRPr="00F1547E" w:rsidRDefault="0061573E" w:rsidP="00295357">
      <w:pPr>
        <w:tabs>
          <w:tab w:val="left" w:pos="2805"/>
        </w:tabs>
        <w:spacing w:line="276" w:lineRule="auto"/>
        <w:jc w:val="center"/>
        <w:rPr>
          <w:rFonts w:ascii="Times New Roman" w:hAnsi="Times New Roman" w:cs="Times New Roman"/>
          <w:b/>
          <w:sz w:val="24"/>
          <w:szCs w:val="24"/>
        </w:rPr>
      </w:pPr>
    </w:p>
    <w:p w14:paraId="66F187BB" w14:textId="71AEC6B0" w:rsidR="00295357" w:rsidRPr="00F1547E" w:rsidRDefault="00295357" w:rsidP="00681179">
      <w:pPr>
        <w:tabs>
          <w:tab w:val="left" w:pos="2805"/>
        </w:tabs>
        <w:spacing w:line="276" w:lineRule="auto"/>
        <w:jc w:val="center"/>
        <w:rPr>
          <w:rFonts w:ascii="Times New Roman" w:hAnsi="Times New Roman" w:cs="Times New Roman"/>
          <w:b/>
          <w:sz w:val="24"/>
          <w:szCs w:val="24"/>
        </w:rPr>
      </w:pPr>
      <w:r w:rsidRPr="00F1547E">
        <w:rPr>
          <w:rFonts w:ascii="Times New Roman" w:hAnsi="Times New Roman" w:cs="Times New Roman"/>
          <w:b/>
          <w:sz w:val="24"/>
          <w:szCs w:val="24"/>
        </w:rPr>
        <w:t xml:space="preserve">Working Group on Transparency and Reporting </w:t>
      </w:r>
    </w:p>
    <w:p w14:paraId="5AF0FD94" w14:textId="77777777" w:rsidR="00295357" w:rsidRPr="00F1547E" w:rsidRDefault="00295357" w:rsidP="00295357">
      <w:pPr>
        <w:tabs>
          <w:tab w:val="left" w:pos="2805"/>
        </w:tabs>
        <w:spacing w:line="276" w:lineRule="auto"/>
        <w:jc w:val="center"/>
        <w:rPr>
          <w:rFonts w:ascii="Times New Roman" w:hAnsi="Times New Roman" w:cs="Times New Roman"/>
          <w:b/>
          <w:sz w:val="24"/>
          <w:szCs w:val="24"/>
        </w:rPr>
      </w:pPr>
      <w:r w:rsidRPr="00F1547E">
        <w:rPr>
          <w:rFonts w:ascii="Times New Roman" w:hAnsi="Times New Roman" w:cs="Times New Roman"/>
          <w:b/>
          <w:sz w:val="24"/>
          <w:szCs w:val="24"/>
        </w:rPr>
        <w:t>Arms Trade Treaty</w:t>
      </w:r>
    </w:p>
    <w:p w14:paraId="436B8A9D" w14:textId="77777777" w:rsidR="00681179" w:rsidRDefault="00681179" w:rsidP="00295357">
      <w:pPr>
        <w:tabs>
          <w:tab w:val="left" w:pos="2805"/>
        </w:tabs>
        <w:spacing w:line="276" w:lineRule="auto"/>
        <w:jc w:val="center"/>
        <w:rPr>
          <w:rFonts w:ascii="Times New Roman" w:hAnsi="Times New Roman" w:cs="Times New Roman"/>
          <w:b/>
          <w:sz w:val="24"/>
          <w:szCs w:val="24"/>
        </w:rPr>
      </w:pPr>
    </w:p>
    <w:p w14:paraId="6A3CFF23" w14:textId="692181C0" w:rsidR="00295357" w:rsidRPr="00F1547E" w:rsidRDefault="00150E2B" w:rsidP="00295357">
      <w:pPr>
        <w:tabs>
          <w:tab w:val="left" w:pos="2805"/>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Geneva,</w:t>
      </w:r>
      <w:r w:rsidR="00681179">
        <w:rPr>
          <w:rFonts w:ascii="Times New Roman" w:hAnsi="Times New Roman" w:cs="Times New Roman"/>
          <w:b/>
          <w:sz w:val="24"/>
          <w:szCs w:val="24"/>
        </w:rPr>
        <w:t xml:space="preserve"> </w:t>
      </w:r>
      <w:r w:rsidR="00F61939">
        <w:rPr>
          <w:rFonts w:ascii="Times New Roman" w:hAnsi="Times New Roman" w:cs="Times New Roman"/>
          <w:b/>
          <w:sz w:val="24"/>
          <w:szCs w:val="24"/>
        </w:rPr>
        <w:t>28 February 2025</w:t>
      </w:r>
    </w:p>
    <w:p w14:paraId="27801A4E" w14:textId="4F69C17A" w:rsidR="00210BD7" w:rsidRPr="00B219DD" w:rsidRDefault="00F1547E" w:rsidP="00B219DD">
      <w:pPr>
        <w:rPr>
          <w:rFonts w:ascii="Times New Roman" w:hAnsi="Times New Roman" w:cs="Times New Roman"/>
          <w:b/>
          <w:bCs/>
          <w:sz w:val="24"/>
          <w:szCs w:val="24"/>
          <w:lang w:val="en-US"/>
        </w:rPr>
      </w:pP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FB4E0C">
        <w:rPr>
          <w:rFonts w:ascii="Times New Roman" w:hAnsi="Times New Roman" w:cs="Times New Roman"/>
          <w:sz w:val="24"/>
          <w:szCs w:val="24"/>
        </w:rPr>
        <w:tab/>
      </w:r>
      <w:r w:rsidR="00FB4E0C">
        <w:rPr>
          <w:rFonts w:ascii="Times New Roman" w:hAnsi="Times New Roman" w:cs="Times New Roman"/>
          <w:sz w:val="24"/>
          <w:szCs w:val="24"/>
        </w:rPr>
        <w:tab/>
      </w:r>
      <w:r w:rsidR="00FB4E0C">
        <w:rPr>
          <w:rFonts w:ascii="Times New Roman" w:hAnsi="Times New Roman" w:cs="Times New Roman"/>
          <w:sz w:val="24"/>
          <w:szCs w:val="24"/>
        </w:rPr>
        <w:tab/>
      </w:r>
      <w:r w:rsidR="00FB4E0C">
        <w:rPr>
          <w:rFonts w:ascii="Times New Roman" w:hAnsi="Times New Roman" w:cs="Times New Roman"/>
          <w:sz w:val="24"/>
          <w:szCs w:val="24"/>
        </w:rPr>
        <w:tab/>
      </w:r>
      <w:r w:rsidR="00FB4E0C">
        <w:rPr>
          <w:rFonts w:ascii="Times New Roman" w:hAnsi="Times New Roman" w:cs="Times New Roman"/>
          <w:sz w:val="24"/>
          <w:szCs w:val="24"/>
        </w:rPr>
        <w:tab/>
      </w:r>
      <w:r w:rsidR="00FB4E0C">
        <w:rPr>
          <w:rFonts w:ascii="Times New Roman" w:hAnsi="Times New Roman" w:cs="Times New Roman"/>
          <w:sz w:val="24"/>
          <w:szCs w:val="24"/>
        </w:rPr>
        <w:tab/>
      </w:r>
      <w:r w:rsidR="00FB4E0C">
        <w:rPr>
          <w:rFonts w:ascii="Times New Roman" w:hAnsi="Times New Roman" w:cs="Times New Roman"/>
          <w:sz w:val="24"/>
          <w:szCs w:val="24"/>
        </w:rPr>
        <w:tab/>
      </w:r>
      <w:r w:rsidR="00FB4E0C">
        <w:rPr>
          <w:rFonts w:ascii="Times New Roman" w:hAnsi="Times New Roman" w:cs="Times New Roman"/>
          <w:sz w:val="24"/>
          <w:szCs w:val="24"/>
        </w:rPr>
        <w:tab/>
      </w:r>
      <w:r w:rsidR="00FB4E0C">
        <w:rPr>
          <w:rFonts w:ascii="Times New Roman" w:hAnsi="Times New Roman" w:cs="Times New Roman"/>
          <w:sz w:val="24"/>
          <w:szCs w:val="24"/>
        </w:rPr>
        <w:tab/>
      </w:r>
      <w:r w:rsidR="00FB4E0C">
        <w:rPr>
          <w:rFonts w:ascii="Times New Roman" w:hAnsi="Times New Roman" w:cs="Times New Roman"/>
          <w:sz w:val="24"/>
          <w:szCs w:val="24"/>
        </w:rPr>
        <w:tab/>
      </w:r>
      <w:r w:rsidR="00FB4E0C">
        <w:rPr>
          <w:rFonts w:ascii="Times New Roman" w:hAnsi="Times New Roman" w:cs="Times New Roman"/>
          <w:i/>
          <w:sz w:val="24"/>
          <w:szCs w:val="24"/>
        </w:rPr>
        <w:t xml:space="preserve"> </w:t>
      </w:r>
    </w:p>
    <w:p w14:paraId="5578CFA8" w14:textId="2922EB7A" w:rsidR="00C54BBF" w:rsidRPr="00C54BBF" w:rsidRDefault="00C54BBF" w:rsidP="00C54BBF">
      <w:pPr>
        <w:spacing w:afterLines="120" w:after="288" w:line="276" w:lineRule="auto"/>
        <w:jc w:val="right"/>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54BBF">
        <w:rPr>
          <w:rFonts w:ascii="Times New Roman" w:hAnsi="Times New Roman" w:cs="Times New Roman"/>
          <w:i/>
          <w:sz w:val="24"/>
          <w:szCs w:val="24"/>
        </w:rPr>
        <w:tab/>
      </w:r>
    </w:p>
    <w:p w14:paraId="38346463" w14:textId="7E1DBA16" w:rsidR="00497CC8" w:rsidRPr="00D36B66" w:rsidRDefault="00B219DD" w:rsidP="00007CE9">
      <w:pPr>
        <w:spacing w:afterLines="120" w:after="288" w:line="276" w:lineRule="auto"/>
        <w:jc w:val="both"/>
        <w:rPr>
          <w:rFonts w:ascii="Times New Roman" w:hAnsi="Times New Roman" w:cs="Times New Roman"/>
          <w:sz w:val="24"/>
          <w:szCs w:val="24"/>
        </w:rPr>
      </w:pPr>
      <w:r>
        <w:rPr>
          <w:rFonts w:ascii="Times New Roman" w:hAnsi="Times New Roman" w:cs="Times New Roman"/>
          <w:sz w:val="24"/>
          <w:szCs w:val="24"/>
        </w:rPr>
        <w:t>Madam</w:t>
      </w:r>
      <w:r w:rsidR="00497CC8" w:rsidRPr="00D36B66">
        <w:rPr>
          <w:rFonts w:ascii="Times New Roman" w:hAnsi="Times New Roman" w:cs="Times New Roman"/>
          <w:sz w:val="24"/>
          <w:szCs w:val="24"/>
        </w:rPr>
        <w:t xml:space="preserve"> Chair,</w:t>
      </w:r>
    </w:p>
    <w:p w14:paraId="73F4B17A" w14:textId="222B62CF" w:rsidR="00E7059B" w:rsidRDefault="00E7059B" w:rsidP="004030EB">
      <w:pPr>
        <w:spacing w:after="120" w:line="276" w:lineRule="auto"/>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I have the honour to speak on behalf of the European Union and its Member States.</w:t>
      </w:r>
    </w:p>
    <w:p w14:paraId="70D243B7" w14:textId="6C450A61" w:rsidR="006446E4" w:rsidRDefault="006446E4" w:rsidP="00C9452A">
      <w:pPr>
        <w:spacing w:after="120" w:line="259" w:lineRule="auto"/>
        <w:jc w:val="both"/>
        <w:rPr>
          <w:rFonts w:ascii="Times New Roman" w:hAnsi="Times New Roman" w:cs="Times New Roman"/>
          <w:color w:val="000000"/>
          <w:sz w:val="24"/>
          <w:szCs w:val="24"/>
        </w:rPr>
      </w:pPr>
      <w:r w:rsidRPr="006446E4">
        <w:rPr>
          <w:rFonts w:ascii="Times New Roman" w:hAnsi="Times New Roman" w:cs="Times New Roman"/>
          <w:color w:val="000000"/>
          <w:sz w:val="24"/>
          <w:szCs w:val="24"/>
        </w:rPr>
        <w:t>The candidate countries North Macedonia, Montenegro,</w:t>
      </w:r>
      <w:r w:rsidR="00FD366C">
        <w:rPr>
          <w:rFonts w:ascii="Times New Roman" w:hAnsi="Times New Roman" w:cs="Times New Roman"/>
          <w:color w:val="000000"/>
          <w:sz w:val="24"/>
          <w:szCs w:val="24"/>
        </w:rPr>
        <w:t xml:space="preserve"> Serbia, </w:t>
      </w:r>
      <w:r w:rsidRPr="006446E4">
        <w:rPr>
          <w:rFonts w:ascii="Times New Roman" w:hAnsi="Times New Roman" w:cs="Times New Roman"/>
          <w:color w:val="000000"/>
          <w:sz w:val="24"/>
          <w:szCs w:val="24"/>
        </w:rPr>
        <w:t>Albania, Republic of Mold</w:t>
      </w:r>
      <w:r>
        <w:rPr>
          <w:rFonts w:ascii="Times New Roman" w:hAnsi="Times New Roman" w:cs="Times New Roman"/>
          <w:color w:val="000000"/>
          <w:sz w:val="24"/>
          <w:szCs w:val="24"/>
        </w:rPr>
        <w:t>ova, Bosnia and Herzegovina</w:t>
      </w:r>
      <w:r>
        <w:rPr>
          <w:rStyle w:val="FootnoteReference"/>
          <w:rFonts w:ascii="Times New Roman" w:hAnsi="Times New Roman" w:cs="Times New Roman"/>
          <w:color w:val="000000"/>
          <w:sz w:val="24"/>
          <w:szCs w:val="24"/>
        </w:rPr>
        <w:footnoteReference w:id="1"/>
      </w:r>
      <w:r>
        <w:rPr>
          <w:rFonts w:ascii="Times New Roman" w:hAnsi="Times New Roman" w:cs="Times New Roman"/>
          <w:color w:val="000000"/>
          <w:sz w:val="24"/>
          <w:szCs w:val="24"/>
        </w:rPr>
        <w:t xml:space="preserve"> and </w:t>
      </w:r>
      <w:r w:rsidRPr="006446E4">
        <w:rPr>
          <w:rFonts w:ascii="Times New Roman" w:hAnsi="Times New Roman" w:cs="Times New Roman"/>
          <w:color w:val="000000"/>
          <w:sz w:val="24"/>
          <w:szCs w:val="24"/>
        </w:rPr>
        <w:t>Georgia</w:t>
      </w:r>
      <w:r w:rsidR="00FD366C">
        <w:rPr>
          <w:rFonts w:ascii="Times New Roman" w:hAnsi="Times New Roman" w:cs="Times New Roman"/>
          <w:color w:val="000000"/>
          <w:sz w:val="24"/>
          <w:szCs w:val="24"/>
        </w:rPr>
        <w:t xml:space="preserve"> as well as the EFTA </w:t>
      </w:r>
      <w:r w:rsidR="00A77CDD">
        <w:rPr>
          <w:rFonts w:ascii="Times New Roman" w:hAnsi="Times New Roman" w:cs="Times New Roman"/>
          <w:color w:val="000000"/>
          <w:sz w:val="24"/>
          <w:szCs w:val="24"/>
        </w:rPr>
        <w:t>countries Iceland and Norway, members</w:t>
      </w:r>
      <w:r w:rsidR="00FD366C">
        <w:rPr>
          <w:rFonts w:ascii="Times New Roman" w:hAnsi="Times New Roman" w:cs="Times New Roman"/>
          <w:color w:val="000000"/>
          <w:sz w:val="24"/>
          <w:szCs w:val="24"/>
        </w:rPr>
        <w:t xml:space="preserve"> of the European Economic Area,</w:t>
      </w:r>
      <w:r w:rsidRPr="006446E4">
        <w:rPr>
          <w:rFonts w:ascii="Times New Roman" w:hAnsi="Times New Roman" w:cs="Times New Roman"/>
          <w:color w:val="000000"/>
          <w:sz w:val="24"/>
          <w:szCs w:val="24"/>
        </w:rPr>
        <w:t xml:space="preserve"> align themselves with this statement.</w:t>
      </w:r>
    </w:p>
    <w:p w14:paraId="050F0F06" w14:textId="4D668392" w:rsidR="00F61939" w:rsidRPr="00F61939" w:rsidRDefault="00F61939" w:rsidP="00C9452A">
      <w:pPr>
        <w:spacing w:after="120" w:line="259" w:lineRule="auto"/>
        <w:jc w:val="both"/>
        <w:rPr>
          <w:rFonts w:ascii="Times New Roman" w:hAnsi="Times New Roman" w:cs="Times New Roman"/>
          <w:sz w:val="24"/>
          <w:szCs w:val="24"/>
        </w:rPr>
      </w:pPr>
      <w:r w:rsidRPr="00F61939">
        <w:rPr>
          <w:rFonts w:ascii="Times New Roman" w:hAnsi="Times New Roman" w:cs="Times New Roman"/>
          <w:sz w:val="24"/>
          <w:szCs w:val="24"/>
        </w:rPr>
        <w:t>The EU thanks Ms. Andrea Quezada of Chile for assuming the role of WGTR Chair, and expresses appreciation for her effort to guide the discussion around clear-cut questions.</w:t>
      </w:r>
    </w:p>
    <w:p w14:paraId="2DC01533" w14:textId="1E6D337E" w:rsidR="00F61939" w:rsidRPr="00F61939" w:rsidRDefault="00F61939" w:rsidP="00C9452A">
      <w:pPr>
        <w:spacing w:after="120" w:line="259" w:lineRule="auto"/>
        <w:jc w:val="both"/>
        <w:rPr>
          <w:rFonts w:ascii="Times New Roman" w:hAnsi="Times New Roman" w:cs="Times New Roman"/>
          <w:sz w:val="24"/>
          <w:szCs w:val="24"/>
        </w:rPr>
      </w:pPr>
      <w:r w:rsidRPr="00F61939">
        <w:rPr>
          <w:rFonts w:ascii="Times New Roman" w:hAnsi="Times New Roman" w:cs="Times New Roman"/>
          <w:sz w:val="24"/>
          <w:szCs w:val="24"/>
        </w:rPr>
        <w:t xml:space="preserve">The EU thanks </w:t>
      </w:r>
      <w:r w:rsidR="00B219DD">
        <w:rPr>
          <w:rFonts w:ascii="Times New Roman" w:hAnsi="Times New Roman" w:cs="Times New Roman"/>
          <w:sz w:val="24"/>
          <w:szCs w:val="24"/>
        </w:rPr>
        <w:t xml:space="preserve">also the </w:t>
      </w:r>
      <w:r w:rsidRPr="00F61939">
        <w:rPr>
          <w:rFonts w:ascii="Times New Roman" w:hAnsi="Times New Roman" w:cs="Times New Roman"/>
          <w:sz w:val="24"/>
          <w:szCs w:val="24"/>
        </w:rPr>
        <w:t xml:space="preserve">ATT Secretariat for presenting the current status of reporting and expresses its deep concern for the continued low rate of reporting. The EU, as a major provider of assistance in ATT implementation and universalization, stands ready to cooperate with all stakeholders and to build on guidance by States Parties on how to deliver our assistance most effectively. </w:t>
      </w:r>
    </w:p>
    <w:p w14:paraId="3F8FDBD6" w14:textId="77777777" w:rsidR="00F61939" w:rsidRPr="00F61939" w:rsidRDefault="00F61939" w:rsidP="00F61939">
      <w:pPr>
        <w:spacing w:after="120"/>
        <w:rPr>
          <w:rFonts w:ascii="Times New Roman" w:hAnsi="Times New Roman" w:cs="Times New Roman"/>
          <w:b/>
          <w:sz w:val="24"/>
          <w:szCs w:val="24"/>
          <w:u w:val="single"/>
        </w:rPr>
      </w:pPr>
      <w:r w:rsidRPr="00F61939">
        <w:rPr>
          <w:rFonts w:ascii="Times New Roman" w:hAnsi="Times New Roman" w:cs="Times New Roman"/>
          <w:b/>
          <w:sz w:val="24"/>
          <w:szCs w:val="24"/>
          <w:u w:val="single"/>
        </w:rPr>
        <w:t>Agenda item 2 – Supporting compliance with ATT reporting obligations</w:t>
      </w:r>
    </w:p>
    <w:p w14:paraId="26D5F95B" w14:textId="20BFFC36" w:rsidR="00F61939" w:rsidRPr="00C9452A" w:rsidRDefault="00B219DD" w:rsidP="00C9452A">
      <w:pPr>
        <w:spacing w:after="120" w:line="259" w:lineRule="auto"/>
        <w:jc w:val="both"/>
        <w:rPr>
          <w:rFonts w:ascii="Times New Roman" w:hAnsi="Times New Roman" w:cs="Times New Roman"/>
          <w:bCs/>
          <w:iCs/>
          <w:sz w:val="24"/>
          <w:szCs w:val="24"/>
          <w:u w:val="single"/>
        </w:rPr>
      </w:pPr>
      <w:r w:rsidRPr="00C9452A">
        <w:rPr>
          <w:rFonts w:ascii="Times New Roman" w:hAnsi="Times New Roman" w:cs="Times New Roman"/>
          <w:bCs/>
          <w:iCs/>
          <w:sz w:val="24"/>
          <w:szCs w:val="24"/>
        </w:rPr>
        <w:t>Since 2021 t</w:t>
      </w:r>
      <w:r w:rsidR="00F61939" w:rsidRPr="00C9452A">
        <w:rPr>
          <w:rFonts w:ascii="Times New Roman" w:hAnsi="Times New Roman" w:cs="Times New Roman"/>
          <w:bCs/>
          <w:iCs/>
          <w:sz w:val="24"/>
          <w:szCs w:val="24"/>
        </w:rPr>
        <w:t>he EU</w:t>
      </w:r>
      <w:r w:rsidR="00BF3099" w:rsidRPr="00C9452A">
        <w:rPr>
          <w:rFonts w:ascii="Times New Roman" w:hAnsi="Times New Roman" w:cs="Times New Roman"/>
          <w:bCs/>
          <w:iCs/>
          <w:sz w:val="24"/>
          <w:szCs w:val="24"/>
        </w:rPr>
        <w:t xml:space="preserve"> </w:t>
      </w:r>
      <w:r w:rsidR="00F61939" w:rsidRPr="00C9452A">
        <w:rPr>
          <w:rFonts w:ascii="Times New Roman" w:hAnsi="Times New Roman" w:cs="Times New Roman"/>
          <w:sz w:val="24"/>
          <w:szCs w:val="24"/>
        </w:rPr>
        <w:t>has been supporting the ATT Secretariat in capacity building for States Parties in reporting, under a dedicated funding instrument. Present funding secures activities until Nov</w:t>
      </w:r>
      <w:r w:rsidRPr="00C9452A">
        <w:rPr>
          <w:rFonts w:ascii="Times New Roman" w:hAnsi="Times New Roman" w:cs="Times New Roman"/>
          <w:sz w:val="24"/>
          <w:szCs w:val="24"/>
        </w:rPr>
        <w:t>ember 2025. The broader EU ATT Outreach P</w:t>
      </w:r>
      <w:r w:rsidR="00F61939" w:rsidRPr="00C9452A">
        <w:rPr>
          <w:rFonts w:ascii="Times New Roman" w:hAnsi="Times New Roman" w:cs="Times New Roman"/>
          <w:sz w:val="24"/>
          <w:szCs w:val="24"/>
        </w:rPr>
        <w:t>roject, implemented by German BAFA and Expertise France, can als</w:t>
      </w:r>
      <w:r w:rsidRPr="00C9452A">
        <w:rPr>
          <w:rFonts w:ascii="Times New Roman" w:hAnsi="Times New Roman" w:cs="Times New Roman"/>
          <w:sz w:val="24"/>
          <w:szCs w:val="24"/>
        </w:rPr>
        <w:t>o support reporting of partner S</w:t>
      </w:r>
      <w:r w:rsidR="00F61939" w:rsidRPr="00C9452A">
        <w:rPr>
          <w:rFonts w:ascii="Times New Roman" w:hAnsi="Times New Roman" w:cs="Times New Roman"/>
          <w:sz w:val="24"/>
          <w:szCs w:val="24"/>
        </w:rPr>
        <w:t>tates, if they request</w:t>
      </w:r>
      <w:r w:rsidRPr="00C9452A">
        <w:rPr>
          <w:rFonts w:ascii="Times New Roman" w:hAnsi="Times New Roman" w:cs="Times New Roman"/>
          <w:sz w:val="24"/>
          <w:szCs w:val="24"/>
        </w:rPr>
        <w:t xml:space="preserve"> it</w:t>
      </w:r>
      <w:r w:rsidR="00F61939" w:rsidRPr="00C9452A">
        <w:rPr>
          <w:rFonts w:ascii="Times New Roman" w:hAnsi="Times New Roman" w:cs="Times New Roman"/>
          <w:sz w:val="24"/>
          <w:szCs w:val="24"/>
        </w:rPr>
        <w:t>. In order to achieve best results through cumulative and coordinated assist</w:t>
      </w:r>
      <w:r w:rsidRPr="00C9452A">
        <w:rPr>
          <w:rFonts w:ascii="Times New Roman" w:hAnsi="Times New Roman" w:cs="Times New Roman"/>
          <w:sz w:val="24"/>
          <w:szCs w:val="24"/>
        </w:rPr>
        <w:t>ance from different sources to States P</w:t>
      </w:r>
      <w:r w:rsidR="00F61939" w:rsidRPr="00C9452A">
        <w:rPr>
          <w:rFonts w:ascii="Times New Roman" w:hAnsi="Times New Roman" w:cs="Times New Roman"/>
          <w:sz w:val="24"/>
          <w:szCs w:val="24"/>
        </w:rPr>
        <w:t xml:space="preserve">arties in need, the EU remains open for coordination of support activities. We encourage all assistance providers or contributors to liaise with the ATT Secretariat to determine the best allocation of resources. </w:t>
      </w:r>
      <w:bookmarkStart w:id="0" w:name="_GoBack"/>
      <w:bookmarkEnd w:id="0"/>
    </w:p>
    <w:p w14:paraId="1BE44614" w14:textId="4C3A48A5" w:rsidR="00F61939" w:rsidRPr="00F61939" w:rsidRDefault="00F61939" w:rsidP="00C9452A">
      <w:pPr>
        <w:spacing w:after="120" w:line="259" w:lineRule="auto"/>
        <w:jc w:val="both"/>
        <w:rPr>
          <w:rFonts w:ascii="Times New Roman" w:hAnsi="Times New Roman" w:cs="Times New Roman"/>
          <w:sz w:val="24"/>
          <w:szCs w:val="24"/>
        </w:rPr>
      </w:pPr>
      <w:r w:rsidRPr="00F61939">
        <w:rPr>
          <w:rFonts w:ascii="Times New Roman" w:hAnsi="Times New Roman" w:cs="Times New Roman"/>
          <w:bCs/>
          <w:iCs/>
          <w:sz w:val="24"/>
          <w:szCs w:val="24"/>
        </w:rPr>
        <w:t>The EU</w:t>
      </w:r>
      <w:r w:rsidR="006869E0">
        <w:rPr>
          <w:rFonts w:ascii="Times New Roman" w:hAnsi="Times New Roman" w:cs="Times New Roman"/>
          <w:bCs/>
          <w:iCs/>
          <w:sz w:val="24"/>
          <w:szCs w:val="24"/>
        </w:rPr>
        <w:t>,</w:t>
      </w:r>
      <w:r w:rsidRPr="00F61939">
        <w:rPr>
          <w:rFonts w:ascii="Times New Roman" w:hAnsi="Times New Roman" w:cs="Times New Roman"/>
          <w:bCs/>
          <w:iCs/>
          <w:sz w:val="24"/>
          <w:szCs w:val="24"/>
        </w:rPr>
        <w:t xml:space="preserve"> in its ATT-related outreach</w:t>
      </w:r>
      <w:r w:rsidR="005A6D01">
        <w:rPr>
          <w:rFonts w:ascii="Times New Roman" w:hAnsi="Times New Roman" w:cs="Times New Roman"/>
          <w:bCs/>
          <w:iCs/>
          <w:sz w:val="24"/>
          <w:szCs w:val="24"/>
        </w:rPr>
        <w:t>,</w:t>
      </w:r>
      <w:r w:rsidRPr="00F61939">
        <w:rPr>
          <w:rFonts w:ascii="Times New Roman" w:hAnsi="Times New Roman" w:cs="Times New Roman"/>
          <w:bCs/>
          <w:iCs/>
          <w:sz w:val="24"/>
          <w:szCs w:val="24"/>
        </w:rPr>
        <w:t xml:space="preserve"> stresses </w:t>
      </w:r>
      <w:r w:rsidRPr="00F61939">
        <w:rPr>
          <w:rFonts w:ascii="Times New Roman" w:hAnsi="Times New Roman" w:cs="Times New Roman"/>
          <w:sz w:val="24"/>
          <w:szCs w:val="24"/>
        </w:rPr>
        <w:t>the importance of regional contextualisation and regional cooperation in confidence-building. A challenge of confidentiality in reporting can be overcome by simultaneous re</w:t>
      </w:r>
      <w:r w:rsidR="00B219DD">
        <w:rPr>
          <w:rFonts w:ascii="Times New Roman" w:hAnsi="Times New Roman" w:cs="Times New Roman"/>
          <w:sz w:val="24"/>
          <w:szCs w:val="24"/>
        </w:rPr>
        <w:t>porting by a group of regional S</w:t>
      </w:r>
      <w:r w:rsidRPr="00F61939">
        <w:rPr>
          <w:rFonts w:ascii="Times New Roman" w:hAnsi="Times New Roman" w:cs="Times New Roman"/>
          <w:sz w:val="24"/>
          <w:szCs w:val="24"/>
        </w:rPr>
        <w:t xml:space="preserve">tates sharing mutual concerns, thereby offering the same level of transparency in the region. Assistance in reporting should </w:t>
      </w:r>
      <w:r w:rsidRPr="00F61939">
        <w:rPr>
          <w:rFonts w:ascii="Times New Roman" w:hAnsi="Times New Roman" w:cs="Times New Roman"/>
          <w:sz w:val="24"/>
          <w:szCs w:val="24"/>
        </w:rPr>
        <w:lastRenderedPageBreak/>
        <w:t xml:space="preserve">therefore continue to promote neighbourhood partnerships and peer-to-peer assistance, especially the outreach and example </w:t>
      </w:r>
      <w:r w:rsidR="00CC6B71" w:rsidRPr="00E9548C">
        <w:rPr>
          <w:rFonts w:ascii="Times New Roman" w:hAnsi="Times New Roman" w:cs="Times New Roman"/>
          <w:bCs/>
          <w:sz w:val="24"/>
          <w:szCs w:val="24"/>
        </w:rPr>
        <w:t>provided by</w:t>
      </w:r>
      <w:r w:rsidRPr="00F61939">
        <w:rPr>
          <w:rFonts w:ascii="Times New Roman" w:hAnsi="Times New Roman" w:cs="Times New Roman"/>
          <w:sz w:val="24"/>
          <w:szCs w:val="24"/>
        </w:rPr>
        <w:t xml:space="preserve"> regional reporting champions. </w:t>
      </w:r>
    </w:p>
    <w:p w14:paraId="1F613CEB" w14:textId="2AFCAA5A" w:rsidR="00F61939" w:rsidRPr="00F61939" w:rsidRDefault="00F61939" w:rsidP="00C9452A">
      <w:pPr>
        <w:spacing w:after="120" w:line="259" w:lineRule="auto"/>
        <w:jc w:val="both"/>
        <w:rPr>
          <w:rFonts w:ascii="Times New Roman" w:hAnsi="Times New Roman" w:cs="Times New Roman"/>
          <w:sz w:val="24"/>
          <w:szCs w:val="24"/>
        </w:rPr>
      </w:pPr>
      <w:r w:rsidRPr="00F61939">
        <w:rPr>
          <w:rFonts w:ascii="Times New Roman" w:hAnsi="Times New Roman" w:cs="Times New Roman"/>
          <w:sz w:val="24"/>
          <w:szCs w:val="24"/>
        </w:rPr>
        <w:t>The EU stands ready to reinforce its political support for regional initiatives under the auspices of the ATT Secretariat, and encourages all assistance providers and States Parties which are arms exporters to</w:t>
      </w:r>
      <w:r w:rsidR="00CC6B71" w:rsidRPr="001B655C">
        <w:rPr>
          <w:rFonts w:ascii="Times New Roman" w:hAnsi="Times New Roman" w:cs="Times New Roman"/>
          <w:bCs/>
          <w:sz w:val="24"/>
          <w:szCs w:val="24"/>
        </w:rPr>
        <w:t>,</w:t>
      </w:r>
      <w:r w:rsidRPr="00F61939">
        <w:rPr>
          <w:rFonts w:ascii="Times New Roman" w:hAnsi="Times New Roman" w:cs="Times New Roman"/>
          <w:sz w:val="24"/>
          <w:szCs w:val="24"/>
        </w:rPr>
        <w:t xml:space="preserve"> or have close political and</w:t>
      </w:r>
      <w:r w:rsidR="00CC6B71" w:rsidRPr="001B655C">
        <w:rPr>
          <w:rFonts w:ascii="Times New Roman" w:hAnsi="Times New Roman" w:cs="Times New Roman"/>
          <w:bCs/>
          <w:sz w:val="24"/>
          <w:szCs w:val="24"/>
        </w:rPr>
        <w:t>/or security</w:t>
      </w:r>
      <w:r w:rsidRPr="00CC6B71">
        <w:rPr>
          <w:rFonts w:ascii="Times New Roman" w:hAnsi="Times New Roman" w:cs="Times New Roman"/>
          <w:b/>
          <w:sz w:val="24"/>
          <w:szCs w:val="24"/>
        </w:rPr>
        <w:t xml:space="preserve"> </w:t>
      </w:r>
      <w:r w:rsidRPr="00F61939">
        <w:rPr>
          <w:rFonts w:ascii="Times New Roman" w:hAnsi="Times New Roman" w:cs="Times New Roman"/>
          <w:sz w:val="24"/>
          <w:szCs w:val="24"/>
        </w:rPr>
        <w:t xml:space="preserve">relationship with the </w:t>
      </w:r>
      <w:r w:rsidR="001075CD">
        <w:rPr>
          <w:rFonts w:ascii="Times New Roman" w:hAnsi="Times New Roman" w:cs="Times New Roman"/>
          <w:sz w:val="24"/>
          <w:szCs w:val="24"/>
        </w:rPr>
        <w:t>S</w:t>
      </w:r>
      <w:r w:rsidRPr="00F61939">
        <w:rPr>
          <w:rFonts w:ascii="Times New Roman" w:hAnsi="Times New Roman" w:cs="Times New Roman"/>
          <w:sz w:val="24"/>
          <w:szCs w:val="24"/>
        </w:rPr>
        <w:t>tates concerned</w:t>
      </w:r>
      <w:r w:rsidR="001B655C">
        <w:rPr>
          <w:rFonts w:ascii="Times New Roman" w:hAnsi="Times New Roman" w:cs="Times New Roman"/>
          <w:b/>
          <w:sz w:val="24"/>
          <w:szCs w:val="24"/>
        </w:rPr>
        <w:t xml:space="preserve"> </w:t>
      </w:r>
      <w:r w:rsidRPr="00F61939">
        <w:rPr>
          <w:rFonts w:ascii="Times New Roman" w:hAnsi="Times New Roman" w:cs="Times New Roman"/>
          <w:sz w:val="24"/>
          <w:szCs w:val="24"/>
        </w:rPr>
        <w:t>to do so as well.</w:t>
      </w:r>
    </w:p>
    <w:p w14:paraId="49710EF1" w14:textId="77777777" w:rsidR="00F61939" w:rsidRPr="00F61939" w:rsidRDefault="00F61939" w:rsidP="00C9452A">
      <w:pPr>
        <w:spacing w:after="120" w:line="259" w:lineRule="auto"/>
        <w:jc w:val="both"/>
        <w:rPr>
          <w:rFonts w:ascii="Times New Roman" w:hAnsi="Times New Roman" w:cs="Times New Roman"/>
          <w:bCs/>
          <w:iCs/>
          <w:sz w:val="24"/>
          <w:szCs w:val="24"/>
        </w:rPr>
      </w:pPr>
      <w:r w:rsidRPr="00F61939">
        <w:rPr>
          <w:rFonts w:ascii="Times New Roman" w:hAnsi="Times New Roman" w:cs="Times New Roman"/>
          <w:bCs/>
          <w:iCs/>
          <w:sz w:val="24"/>
          <w:szCs w:val="24"/>
        </w:rPr>
        <w:t xml:space="preserve">An effective action to improve reporting should combine technical assistance and political outreach, in order to address all possible obstacles, including lack of data due to deficiencies in tracking cross-border movement of goods, lack of inter-agency cooperation, </w:t>
      </w:r>
      <w:proofErr w:type="gramStart"/>
      <w:r w:rsidRPr="00F61939">
        <w:rPr>
          <w:rFonts w:ascii="Times New Roman" w:hAnsi="Times New Roman" w:cs="Times New Roman"/>
          <w:bCs/>
          <w:iCs/>
          <w:sz w:val="24"/>
          <w:szCs w:val="24"/>
        </w:rPr>
        <w:t>lack</w:t>
      </w:r>
      <w:proofErr w:type="gramEnd"/>
      <w:r w:rsidRPr="00F61939">
        <w:rPr>
          <w:rFonts w:ascii="Times New Roman" w:hAnsi="Times New Roman" w:cs="Times New Roman"/>
          <w:bCs/>
          <w:iCs/>
          <w:sz w:val="24"/>
          <w:szCs w:val="24"/>
        </w:rPr>
        <w:t xml:space="preserve"> of political awareness or misperceptions about Treaty obligations.</w:t>
      </w:r>
    </w:p>
    <w:p w14:paraId="11571BA1" w14:textId="162B0696" w:rsidR="00F61939" w:rsidRPr="00F61939" w:rsidRDefault="00F61939" w:rsidP="00C9452A">
      <w:pPr>
        <w:spacing w:after="120" w:line="259" w:lineRule="auto"/>
        <w:jc w:val="both"/>
        <w:rPr>
          <w:rFonts w:ascii="Times New Roman" w:hAnsi="Times New Roman" w:cs="Times New Roman"/>
          <w:bCs/>
          <w:iCs/>
          <w:sz w:val="24"/>
          <w:szCs w:val="24"/>
        </w:rPr>
      </w:pPr>
      <w:r w:rsidRPr="00F61939">
        <w:rPr>
          <w:rFonts w:ascii="Times New Roman" w:hAnsi="Times New Roman" w:cs="Times New Roman"/>
          <w:bCs/>
          <w:iCs/>
          <w:sz w:val="24"/>
          <w:szCs w:val="24"/>
        </w:rPr>
        <w:t>We need to realistically assume that outreach and assistance in some cases may not result in an immediate submission of a report but rather in identifying obstacles. Such assessment should take a structured, pr</w:t>
      </w:r>
      <w:r w:rsidR="001075CD">
        <w:rPr>
          <w:rFonts w:ascii="Times New Roman" w:hAnsi="Times New Roman" w:cs="Times New Roman"/>
          <w:bCs/>
          <w:iCs/>
          <w:sz w:val="24"/>
          <w:szCs w:val="24"/>
        </w:rPr>
        <w:t>eferably uniform shape for all S</w:t>
      </w:r>
      <w:r w:rsidRPr="00F61939">
        <w:rPr>
          <w:rFonts w:ascii="Times New Roman" w:hAnsi="Times New Roman" w:cs="Times New Roman"/>
          <w:bCs/>
          <w:iCs/>
          <w:sz w:val="24"/>
          <w:szCs w:val="24"/>
        </w:rPr>
        <w:t>tates concerned, and should become the basis for a process of addressing all deficiencies, building on mutual experiences. This would also contribute to addressing the broader issue of indicators and measurement of implementation and effectiveness of the Treaty. If the country concerned agrees, its progress could be presented at ATT working cycle meetings, in order to encourage others.</w:t>
      </w:r>
    </w:p>
    <w:p w14:paraId="55CBAE6D" w14:textId="77777777" w:rsidR="00F61939" w:rsidRPr="00F61939" w:rsidRDefault="00F61939" w:rsidP="00F61939">
      <w:pPr>
        <w:spacing w:after="120"/>
        <w:rPr>
          <w:rFonts w:ascii="Times New Roman" w:hAnsi="Times New Roman" w:cs="Times New Roman"/>
          <w:b/>
          <w:sz w:val="24"/>
          <w:szCs w:val="24"/>
          <w:u w:val="single"/>
        </w:rPr>
      </w:pPr>
    </w:p>
    <w:p w14:paraId="01EF7B9F" w14:textId="77777777" w:rsidR="00F61939" w:rsidRPr="00F61939" w:rsidRDefault="00F61939" w:rsidP="00F61939">
      <w:pPr>
        <w:spacing w:after="120"/>
        <w:rPr>
          <w:rFonts w:ascii="Times New Roman" w:hAnsi="Times New Roman" w:cs="Times New Roman"/>
          <w:b/>
          <w:bCs/>
          <w:i/>
          <w:iCs/>
          <w:sz w:val="24"/>
          <w:szCs w:val="24"/>
          <w:u w:val="single"/>
        </w:rPr>
      </w:pPr>
      <w:r w:rsidRPr="00F61939">
        <w:rPr>
          <w:rFonts w:ascii="Times New Roman" w:hAnsi="Times New Roman" w:cs="Times New Roman"/>
          <w:b/>
          <w:sz w:val="24"/>
          <w:szCs w:val="24"/>
          <w:u w:val="single"/>
        </w:rPr>
        <w:t>Agenda item 5 – WGTR mandate in the period between CSP11 and CSP12</w:t>
      </w:r>
    </w:p>
    <w:p w14:paraId="78A95172" w14:textId="0D0C4F2C" w:rsidR="00F61939" w:rsidRPr="00C9452A" w:rsidRDefault="00F61939" w:rsidP="00C9452A">
      <w:pPr>
        <w:spacing w:after="120" w:line="259" w:lineRule="auto"/>
        <w:jc w:val="both"/>
        <w:rPr>
          <w:rFonts w:ascii="Times New Roman" w:hAnsi="Times New Roman" w:cs="Times New Roman"/>
          <w:sz w:val="24"/>
          <w:szCs w:val="24"/>
        </w:rPr>
      </w:pPr>
      <w:r w:rsidRPr="00C9452A">
        <w:rPr>
          <w:rFonts w:ascii="Times New Roman" w:hAnsi="Times New Roman" w:cs="Times New Roman"/>
          <w:bCs/>
          <w:iCs/>
          <w:sz w:val="24"/>
          <w:szCs w:val="24"/>
        </w:rPr>
        <w:t>The EU fully supports proposed WGTR mandate</w:t>
      </w:r>
      <w:r w:rsidRPr="00C9452A">
        <w:rPr>
          <w:rFonts w:ascii="Times New Roman" w:hAnsi="Times New Roman" w:cs="Times New Roman"/>
          <w:sz w:val="24"/>
          <w:szCs w:val="24"/>
        </w:rPr>
        <w:t xml:space="preserve"> </w:t>
      </w:r>
      <w:r w:rsidRPr="00C9452A">
        <w:rPr>
          <w:rFonts w:ascii="Times New Roman" w:hAnsi="Times New Roman" w:cs="Times New Roman"/>
          <w:bCs/>
          <w:iCs/>
          <w:sz w:val="24"/>
          <w:szCs w:val="24"/>
        </w:rPr>
        <w:t>for the period between CSP11 and CSP12.</w:t>
      </w:r>
    </w:p>
    <w:p w14:paraId="078B457F" w14:textId="163230DF" w:rsidR="0061573E" w:rsidRPr="00F1547E" w:rsidRDefault="0061573E" w:rsidP="00497CC8">
      <w:pPr>
        <w:spacing w:after="120"/>
        <w:rPr>
          <w:rFonts w:ascii="Times New Roman" w:hAnsi="Times New Roman" w:cs="Times New Roman"/>
          <w:b/>
          <w:sz w:val="24"/>
          <w:szCs w:val="24"/>
        </w:rPr>
      </w:pPr>
    </w:p>
    <w:sectPr w:rsidR="0061573E" w:rsidRPr="00F1547E" w:rsidSect="00861C3E">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45D13" w14:textId="77777777" w:rsidR="00341518" w:rsidRDefault="00341518" w:rsidP="00D1114B">
      <w:r>
        <w:separator/>
      </w:r>
    </w:p>
  </w:endnote>
  <w:endnote w:type="continuationSeparator" w:id="0">
    <w:p w14:paraId="3D1D951D" w14:textId="77777777" w:rsidR="00341518" w:rsidRDefault="00341518" w:rsidP="00D1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76241"/>
      <w:docPartObj>
        <w:docPartGallery w:val="Page Numbers (Bottom of Page)"/>
        <w:docPartUnique/>
      </w:docPartObj>
    </w:sdtPr>
    <w:sdtEndPr>
      <w:rPr>
        <w:rFonts w:ascii="Times New Roman" w:hAnsi="Times New Roman" w:cs="Times New Roman"/>
        <w:noProof/>
      </w:rPr>
    </w:sdtEndPr>
    <w:sdtContent>
      <w:p w14:paraId="08C61E17" w14:textId="60993C64" w:rsidR="00D1114B" w:rsidRPr="00861C3E" w:rsidRDefault="00D1114B">
        <w:pPr>
          <w:pStyle w:val="Footer"/>
          <w:jc w:val="right"/>
          <w:rPr>
            <w:rFonts w:ascii="Times New Roman" w:hAnsi="Times New Roman" w:cs="Times New Roman"/>
          </w:rPr>
        </w:pPr>
        <w:r w:rsidRPr="00861C3E">
          <w:rPr>
            <w:rFonts w:ascii="Times New Roman" w:hAnsi="Times New Roman" w:cs="Times New Roman"/>
          </w:rPr>
          <w:fldChar w:fldCharType="begin"/>
        </w:r>
        <w:r w:rsidRPr="00861C3E">
          <w:rPr>
            <w:rFonts w:ascii="Times New Roman" w:hAnsi="Times New Roman" w:cs="Times New Roman"/>
          </w:rPr>
          <w:instrText xml:space="preserve"> PAGE   \* MERGEFORMAT </w:instrText>
        </w:r>
        <w:r w:rsidRPr="00861C3E">
          <w:rPr>
            <w:rFonts w:ascii="Times New Roman" w:hAnsi="Times New Roman" w:cs="Times New Roman"/>
          </w:rPr>
          <w:fldChar w:fldCharType="separate"/>
        </w:r>
        <w:r w:rsidR="005A6D01">
          <w:rPr>
            <w:rFonts w:ascii="Times New Roman" w:hAnsi="Times New Roman" w:cs="Times New Roman"/>
            <w:noProof/>
          </w:rPr>
          <w:t>2</w:t>
        </w:r>
        <w:r w:rsidRPr="00861C3E">
          <w:rPr>
            <w:rFonts w:ascii="Times New Roman" w:hAnsi="Times New Roman" w:cs="Times New Roman"/>
            <w:noProof/>
          </w:rPr>
          <w:fldChar w:fldCharType="end"/>
        </w:r>
      </w:p>
    </w:sdtContent>
  </w:sdt>
  <w:p w14:paraId="337D0F94" w14:textId="77777777" w:rsidR="00D1114B" w:rsidRDefault="00D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17397" w14:textId="77777777" w:rsidR="00341518" w:rsidRDefault="00341518" w:rsidP="00D1114B">
      <w:r>
        <w:separator/>
      </w:r>
    </w:p>
  </w:footnote>
  <w:footnote w:type="continuationSeparator" w:id="0">
    <w:p w14:paraId="22ABECC8" w14:textId="77777777" w:rsidR="00341518" w:rsidRDefault="00341518" w:rsidP="00D1114B">
      <w:r>
        <w:continuationSeparator/>
      </w:r>
    </w:p>
  </w:footnote>
  <w:footnote w:id="1">
    <w:p w14:paraId="3A01B55A" w14:textId="29E84EEE" w:rsidR="006446E4" w:rsidRPr="006446E4" w:rsidRDefault="006446E4" w:rsidP="006446E4">
      <w:pPr>
        <w:pStyle w:val="FootnoteText"/>
        <w:jc w:val="both"/>
        <w:rPr>
          <w:rFonts w:ascii="Times New Roman" w:hAnsi="Times New Roman" w:cs="Times New Roman"/>
          <w:lang w:val="en-US"/>
        </w:rPr>
      </w:pPr>
      <w:r w:rsidRPr="006446E4">
        <w:rPr>
          <w:rStyle w:val="FootnoteReference"/>
          <w:rFonts w:ascii="Times New Roman" w:hAnsi="Times New Roman" w:cs="Times New Roman"/>
        </w:rPr>
        <w:footnoteRef/>
      </w:r>
      <w:r w:rsidRPr="006446E4">
        <w:rPr>
          <w:rFonts w:ascii="Times New Roman" w:hAnsi="Times New Roman" w:cs="Times New Roman"/>
        </w:rPr>
        <w:t xml:space="preserve"> North Macedonia, Montenegro,</w:t>
      </w:r>
      <w:r w:rsidR="001F65B4">
        <w:rPr>
          <w:rFonts w:ascii="Times New Roman" w:hAnsi="Times New Roman" w:cs="Times New Roman"/>
        </w:rPr>
        <w:t xml:space="preserve"> Serbia, </w:t>
      </w:r>
      <w:r w:rsidRPr="006446E4">
        <w:rPr>
          <w:rFonts w:ascii="Times New Roman" w:hAnsi="Times New Roman" w:cs="Times New Roman"/>
        </w:rPr>
        <w:t>Albania and Bosnia and Herzegovina continue to be part of the Stabilisation and Association Process.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7EB4"/>
    <w:multiLevelType w:val="hybridMultilevel"/>
    <w:tmpl w:val="09C2C4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A6638"/>
    <w:multiLevelType w:val="hybridMultilevel"/>
    <w:tmpl w:val="C9D8F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E75C2"/>
    <w:multiLevelType w:val="hybridMultilevel"/>
    <w:tmpl w:val="A4EC8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264064"/>
    <w:multiLevelType w:val="hybridMultilevel"/>
    <w:tmpl w:val="F5429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063DA9"/>
    <w:multiLevelType w:val="hybridMultilevel"/>
    <w:tmpl w:val="7348F08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3779C9"/>
    <w:multiLevelType w:val="hybridMultilevel"/>
    <w:tmpl w:val="D578D7C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DE0D62"/>
    <w:multiLevelType w:val="hybridMultilevel"/>
    <w:tmpl w:val="CA4AF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DF1C2F"/>
    <w:multiLevelType w:val="hybridMultilevel"/>
    <w:tmpl w:val="D50E1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231D7D"/>
    <w:multiLevelType w:val="hybridMultilevel"/>
    <w:tmpl w:val="8E4CA642"/>
    <w:lvl w:ilvl="0" w:tplc="E4B47832">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D3BCB"/>
    <w:multiLevelType w:val="hybridMultilevel"/>
    <w:tmpl w:val="279A8F3C"/>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004539C"/>
    <w:multiLevelType w:val="hybridMultilevel"/>
    <w:tmpl w:val="86B8DFCE"/>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03D13"/>
    <w:multiLevelType w:val="hybridMultilevel"/>
    <w:tmpl w:val="E556C1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596CE5"/>
    <w:multiLevelType w:val="hybridMultilevel"/>
    <w:tmpl w:val="DCBCB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692CF5"/>
    <w:multiLevelType w:val="hybridMultilevel"/>
    <w:tmpl w:val="279A8F3C"/>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5BA1AE1"/>
    <w:multiLevelType w:val="hybridMultilevel"/>
    <w:tmpl w:val="BF7A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D660A"/>
    <w:multiLevelType w:val="hybridMultilevel"/>
    <w:tmpl w:val="A8C2A69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B679F9"/>
    <w:multiLevelType w:val="hybridMultilevel"/>
    <w:tmpl w:val="A8AA1008"/>
    <w:lvl w:ilvl="0" w:tplc="08090001">
      <w:start w:val="1"/>
      <w:numFmt w:val="bullet"/>
      <w:lvlText w:val=""/>
      <w:lvlJc w:val="left"/>
      <w:pPr>
        <w:ind w:left="360" w:hanging="360"/>
      </w:pPr>
      <w:rPr>
        <w:rFonts w:ascii="Symbol" w:hAnsi="Symbol" w:hint="default"/>
      </w:rPr>
    </w:lvl>
    <w:lvl w:ilvl="1" w:tplc="51E4E862">
      <w:start w:val="1"/>
      <w:numFmt w:val="decimal"/>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460623C"/>
    <w:multiLevelType w:val="hybridMultilevel"/>
    <w:tmpl w:val="0052BD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EA7748"/>
    <w:multiLevelType w:val="hybridMultilevel"/>
    <w:tmpl w:val="B8B22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CD030F"/>
    <w:multiLevelType w:val="hybridMultilevel"/>
    <w:tmpl w:val="0A78FF4A"/>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895FD1"/>
    <w:multiLevelType w:val="hybridMultilevel"/>
    <w:tmpl w:val="BF0CE0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DD162E"/>
    <w:multiLevelType w:val="hybridMultilevel"/>
    <w:tmpl w:val="0C603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
  </w:num>
  <w:num w:numId="3">
    <w:abstractNumId w:val="12"/>
  </w:num>
  <w:num w:numId="4">
    <w:abstractNumId w:val="2"/>
  </w:num>
  <w:num w:numId="5">
    <w:abstractNumId w:val="11"/>
  </w:num>
  <w:num w:numId="6">
    <w:abstractNumId w:val="16"/>
  </w:num>
  <w:num w:numId="7">
    <w:abstractNumId w:val="18"/>
  </w:num>
  <w:num w:numId="8">
    <w:abstractNumId w:val="5"/>
  </w:num>
  <w:num w:numId="9">
    <w:abstractNumId w:val="19"/>
  </w:num>
  <w:num w:numId="10">
    <w:abstractNumId w:val="9"/>
  </w:num>
  <w:num w:numId="11">
    <w:abstractNumId w:val="8"/>
  </w:num>
  <w:num w:numId="12">
    <w:abstractNumId w:val="1"/>
  </w:num>
  <w:num w:numId="13">
    <w:abstractNumId w:val="21"/>
  </w:num>
  <w:num w:numId="14">
    <w:abstractNumId w:val="13"/>
  </w:num>
  <w:num w:numId="15">
    <w:abstractNumId w:val="6"/>
  </w:num>
  <w:num w:numId="16">
    <w:abstractNumId w:val="15"/>
  </w:num>
  <w:num w:numId="17">
    <w:abstractNumId w:val="14"/>
  </w:num>
  <w:num w:numId="18">
    <w:abstractNumId w:val="20"/>
  </w:num>
  <w:num w:numId="19">
    <w:abstractNumId w:val="7"/>
  </w:num>
  <w:num w:numId="20">
    <w:abstractNumId w:val="0"/>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AT" w:vendorID="64" w:dllVersion="4096" w:nlCheck="1" w:checkStyle="0"/>
  <w:activeWritingStyle w:appName="MSWord" w:lang="fr-BE" w:vendorID="64" w:dllVersion="4096" w:nlCheck="1" w:checkStyle="0"/>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EyMzW3MLAwNbC0NDZX0lEKTi0uzszPAykwrAUACbdIIywAAAA="/>
    <w:docVar w:name="LW_DocType" w:val="NORMAL"/>
  </w:docVars>
  <w:rsids>
    <w:rsidRoot w:val="00F86D83"/>
    <w:rsid w:val="000049C2"/>
    <w:rsid w:val="00007CE9"/>
    <w:rsid w:val="000151E5"/>
    <w:rsid w:val="00036934"/>
    <w:rsid w:val="00055BB0"/>
    <w:rsid w:val="00071E49"/>
    <w:rsid w:val="00081814"/>
    <w:rsid w:val="00086002"/>
    <w:rsid w:val="000A526D"/>
    <w:rsid w:val="000E4A9D"/>
    <w:rsid w:val="001075CD"/>
    <w:rsid w:val="0012383A"/>
    <w:rsid w:val="001336BB"/>
    <w:rsid w:val="00142D6C"/>
    <w:rsid w:val="001430C9"/>
    <w:rsid w:val="00147B2B"/>
    <w:rsid w:val="00150E2B"/>
    <w:rsid w:val="001712B8"/>
    <w:rsid w:val="001720F4"/>
    <w:rsid w:val="001806A1"/>
    <w:rsid w:val="001A121C"/>
    <w:rsid w:val="001B655C"/>
    <w:rsid w:val="001D3171"/>
    <w:rsid w:val="001E702A"/>
    <w:rsid w:val="001F3B5A"/>
    <w:rsid w:val="001F65B4"/>
    <w:rsid w:val="001F6F97"/>
    <w:rsid w:val="00202A0C"/>
    <w:rsid w:val="00205C1A"/>
    <w:rsid w:val="00210BD7"/>
    <w:rsid w:val="002342F9"/>
    <w:rsid w:val="002416D5"/>
    <w:rsid w:val="0027610E"/>
    <w:rsid w:val="00295357"/>
    <w:rsid w:val="002A3C17"/>
    <w:rsid w:val="002C427D"/>
    <w:rsid w:val="002D2450"/>
    <w:rsid w:val="002D6354"/>
    <w:rsid w:val="00300E5C"/>
    <w:rsid w:val="0030479D"/>
    <w:rsid w:val="00307673"/>
    <w:rsid w:val="003125CE"/>
    <w:rsid w:val="00313D0C"/>
    <w:rsid w:val="003374AB"/>
    <w:rsid w:val="00341518"/>
    <w:rsid w:val="003465AA"/>
    <w:rsid w:val="00366E63"/>
    <w:rsid w:val="00380601"/>
    <w:rsid w:val="00391D12"/>
    <w:rsid w:val="003F3DDE"/>
    <w:rsid w:val="004030EB"/>
    <w:rsid w:val="00415608"/>
    <w:rsid w:val="00426886"/>
    <w:rsid w:val="0042744E"/>
    <w:rsid w:val="004432D0"/>
    <w:rsid w:val="004616A5"/>
    <w:rsid w:val="00496B0D"/>
    <w:rsid w:val="00497CC8"/>
    <w:rsid w:val="004C27F0"/>
    <w:rsid w:val="004D0BB0"/>
    <w:rsid w:val="004D2AFC"/>
    <w:rsid w:val="004D78AD"/>
    <w:rsid w:val="004D7EDF"/>
    <w:rsid w:val="00533AFD"/>
    <w:rsid w:val="00560262"/>
    <w:rsid w:val="00561D95"/>
    <w:rsid w:val="005932AA"/>
    <w:rsid w:val="0059729C"/>
    <w:rsid w:val="005A6D01"/>
    <w:rsid w:val="005A70C9"/>
    <w:rsid w:val="005B0909"/>
    <w:rsid w:val="005B79EB"/>
    <w:rsid w:val="005E453F"/>
    <w:rsid w:val="005E4975"/>
    <w:rsid w:val="005F1BB3"/>
    <w:rsid w:val="00610D16"/>
    <w:rsid w:val="0061573E"/>
    <w:rsid w:val="00631AB0"/>
    <w:rsid w:val="006446E4"/>
    <w:rsid w:val="00647A01"/>
    <w:rsid w:val="006621C1"/>
    <w:rsid w:val="0067502A"/>
    <w:rsid w:val="00681179"/>
    <w:rsid w:val="006869E0"/>
    <w:rsid w:val="006A21C9"/>
    <w:rsid w:val="006E50E7"/>
    <w:rsid w:val="006F6102"/>
    <w:rsid w:val="00760F7C"/>
    <w:rsid w:val="0076177D"/>
    <w:rsid w:val="007708E7"/>
    <w:rsid w:val="007866DF"/>
    <w:rsid w:val="0078733B"/>
    <w:rsid w:val="007A3814"/>
    <w:rsid w:val="007A6900"/>
    <w:rsid w:val="007B251C"/>
    <w:rsid w:val="007B7952"/>
    <w:rsid w:val="007D602F"/>
    <w:rsid w:val="00814081"/>
    <w:rsid w:val="00820416"/>
    <w:rsid w:val="0083032C"/>
    <w:rsid w:val="0084033C"/>
    <w:rsid w:val="00843F26"/>
    <w:rsid w:val="00845C87"/>
    <w:rsid w:val="0085551E"/>
    <w:rsid w:val="00861C3E"/>
    <w:rsid w:val="008672F2"/>
    <w:rsid w:val="008842F7"/>
    <w:rsid w:val="008868A3"/>
    <w:rsid w:val="008A34B0"/>
    <w:rsid w:val="008E3C7C"/>
    <w:rsid w:val="00915923"/>
    <w:rsid w:val="00934E83"/>
    <w:rsid w:val="00962DF0"/>
    <w:rsid w:val="009648EB"/>
    <w:rsid w:val="00966019"/>
    <w:rsid w:val="009753DB"/>
    <w:rsid w:val="00987ADF"/>
    <w:rsid w:val="0099020C"/>
    <w:rsid w:val="009A1C95"/>
    <w:rsid w:val="009B2F01"/>
    <w:rsid w:val="009E69D8"/>
    <w:rsid w:val="009E708D"/>
    <w:rsid w:val="009F1407"/>
    <w:rsid w:val="00A122DB"/>
    <w:rsid w:val="00A1326A"/>
    <w:rsid w:val="00A77CDD"/>
    <w:rsid w:val="00A81AD2"/>
    <w:rsid w:val="00A8789B"/>
    <w:rsid w:val="00A87D44"/>
    <w:rsid w:val="00A960D6"/>
    <w:rsid w:val="00AA0FB4"/>
    <w:rsid w:val="00AE588E"/>
    <w:rsid w:val="00B219DD"/>
    <w:rsid w:val="00B40ABB"/>
    <w:rsid w:val="00B5244E"/>
    <w:rsid w:val="00B60F3E"/>
    <w:rsid w:val="00B825F5"/>
    <w:rsid w:val="00BA0802"/>
    <w:rsid w:val="00BF3099"/>
    <w:rsid w:val="00C00A74"/>
    <w:rsid w:val="00C14B19"/>
    <w:rsid w:val="00C1505A"/>
    <w:rsid w:val="00C312CF"/>
    <w:rsid w:val="00C37F29"/>
    <w:rsid w:val="00C5361A"/>
    <w:rsid w:val="00C54BBF"/>
    <w:rsid w:val="00C6740D"/>
    <w:rsid w:val="00C7307E"/>
    <w:rsid w:val="00C80154"/>
    <w:rsid w:val="00C909EF"/>
    <w:rsid w:val="00C9452A"/>
    <w:rsid w:val="00CB7134"/>
    <w:rsid w:val="00CC6B71"/>
    <w:rsid w:val="00CC7A4C"/>
    <w:rsid w:val="00CE5A92"/>
    <w:rsid w:val="00D02E95"/>
    <w:rsid w:val="00D1114B"/>
    <w:rsid w:val="00D7531D"/>
    <w:rsid w:val="00DA14B2"/>
    <w:rsid w:val="00DA44E9"/>
    <w:rsid w:val="00DC0218"/>
    <w:rsid w:val="00E51385"/>
    <w:rsid w:val="00E558C5"/>
    <w:rsid w:val="00E653EA"/>
    <w:rsid w:val="00E7059B"/>
    <w:rsid w:val="00E932BF"/>
    <w:rsid w:val="00E9548C"/>
    <w:rsid w:val="00ED3830"/>
    <w:rsid w:val="00EF282D"/>
    <w:rsid w:val="00F11C12"/>
    <w:rsid w:val="00F1547E"/>
    <w:rsid w:val="00F5292D"/>
    <w:rsid w:val="00F61939"/>
    <w:rsid w:val="00F72F19"/>
    <w:rsid w:val="00F86D83"/>
    <w:rsid w:val="00F93EC2"/>
    <w:rsid w:val="00FA4222"/>
    <w:rsid w:val="00FB4E0C"/>
    <w:rsid w:val="00FD366C"/>
    <w:rsid w:val="00FD5B44"/>
    <w:rsid w:val="00FD77C4"/>
    <w:rsid w:val="00FF6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547E"/>
  <w15:chartTrackingRefBased/>
  <w15:docId w15:val="{9513016A-9D85-488E-A4DF-B51CDEC5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51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Paragraphe de liste1,Normal bullet 2,Bullet List,Graph &amp; Table tite,Listaszerű bekezdés1,List Paragraph à moi,Colorful List - Accent 11,Medium Grid 1 - Accent 21,Listaszeru bekezdés1,Colorful List - Accent 111,Dot pt,FooterText,L"/>
    <w:basedOn w:val="Normal"/>
    <w:link w:val="ListParagraphChar"/>
    <w:uiPriority w:val="34"/>
    <w:qFormat/>
    <w:rsid w:val="0085551E"/>
    <w:pPr>
      <w:ind w:left="720"/>
    </w:pPr>
  </w:style>
  <w:style w:type="paragraph" w:styleId="Header">
    <w:name w:val="header"/>
    <w:basedOn w:val="Normal"/>
    <w:link w:val="HeaderChar"/>
    <w:uiPriority w:val="99"/>
    <w:unhideWhenUsed/>
    <w:rsid w:val="00D1114B"/>
    <w:pPr>
      <w:tabs>
        <w:tab w:val="center" w:pos="4513"/>
        <w:tab w:val="right" w:pos="9026"/>
      </w:tabs>
    </w:pPr>
  </w:style>
  <w:style w:type="character" w:customStyle="1" w:styleId="HeaderChar">
    <w:name w:val="Header Char"/>
    <w:basedOn w:val="DefaultParagraphFont"/>
    <w:link w:val="Header"/>
    <w:uiPriority w:val="99"/>
    <w:rsid w:val="00D1114B"/>
    <w:rPr>
      <w:rFonts w:ascii="Calibri" w:hAnsi="Calibri" w:cs="Calibri"/>
    </w:rPr>
  </w:style>
  <w:style w:type="paragraph" w:styleId="Footer">
    <w:name w:val="footer"/>
    <w:basedOn w:val="Normal"/>
    <w:link w:val="FooterChar"/>
    <w:uiPriority w:val="99"/>
    <w:unhideWhenUsed/>
    <w:rsid w:val="00D1114B"/>
    <w:pPr>
      <w:tabs>
        <w:tab w:val="center" w:pos="4513"/>
        <w:tab w:val="right" w:pos="9026"/>
      </w:tabs>
    </w:pPr>
  </w:style>
  <w:style w:type="character" w:customStyle="1" w:styleId="FooterChar">
    <w:name w:val="Footer Char"/>
    <w:basedOn w:val="DefaultParagraphFont"/>
    <w:link w:val="Footer"/>
    <w:uiPriority w:val="99"/>
    <w:rsid w:val="00D1114B"/>
    <w:rPr>
      <w:rFonts w:ascii="Calibri" w:hAnsi="Calibri" w:cs="Calibri"/>
    </w:rPr>
  </w:style>
  <w:style w:type="character" w:styleId="CommentReference">
    <w:name w:val="annotation reference"/>
    <w:basedOn w:val="DefaultParagraphFont"/>
    <w:uiPriority w:val="99"/>
    <w:semiHidden/>
    <w:unhideWhenUsed/>
    <w:rsid w:val="00FD5B44"/>
    <w:rPr>
      <w:sz w:val="16"/>
      <w:szCs w:val="16"/>
    </w:rPr>
  </w:style>
  <w:style w:type="paragraph" w:styleId="CommentText">
    <w:name w:val="annotation text"/>
    <w:basedOn w:val="Normal"/>
    <w:link w:val="CommentTextChar"/>
    <w:uiPriority w:val="99"/>
    <w:semiHidden/>
    <w:unhideWhenUsed/>
    <w:rsid w:val="00FD5B44"/>
    <w:rPr>
      <w:sz w:val="20"/>
      <w:szCs w:val="20"/>
    </w:rPr>
  </w:style>
  <w:style w:type="character" w:customStyle="1" w:styleId="CommentTextChar">
    <w:name w:val="Comment Text Char"/>
    <w:basedOn w:val="DefaultParagraphFont"/>
    <w:link w:val="CommentText"/>
    <w:uiPriority w:val="99"/>
    <w:semiHidden/>
    <w:rsid w:val="00FD5B4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D5B44"/>
    <w:rPr>
      <w:b/>
      <w:bCs/>
    </w:rPr>
  </w:style>
  <w:style w:type="character" w:customStyle="1" w:styleId="CommentSubjectChar">
    <w:name w:val="Comment Subject Char"/>
    <w:basedOn w:val="CommentTextChar"/>
    <w:link w:val="CommentSubject"/>
    <w:uiPriority w:val="99"/>
    <w:semiHidden/>
    <w:rsid w:val="00FD5B44"/>
    <w:rPr>
      <w:rFonts w:ascii="Calibri" w:hAnsi="Calibri" w:cs="Calibri"/>
      <w:b/>
      <w:bCs/>
      <w:sz w:val="20"/>
      <w:szCs w:val="20"/>
    </w:rPr>
  </w:style>
  <w:style w:type="paragraph" w:styleId="BalloonText">
    <w:name w:val="Balloon Text"/>
    <w:basedOn w:val="Normal"/>
    <w:link w:val="BalloonTextChar"/>
    <w:uiPriority w:val="99"/>
    <w:semiHidden/>
    <w:unhideWhenUsed/>
    <w:rsid w:val="00FD5B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B44"/>
    <w:rPr>
      <w:rFonts w:ascii="Segoe UI" w:hAnsi="Segoe UI" w:cs="Segoe UI"/>
      <w:sz w:val="18"/>
      <w:szCs w:val="18"/>
    </w:rPr>
  </w:style>
  <w:style w:type="paragraph" w:styleId="FootnoteText">
    <w:name w:val="footnote text"/>
    <w:basedOn w:val="Normal"/>
    <w:link w:val="FootnoteTextChar"/>
    <w:semiHidden/>
    <w:unhideWhenUsed/>
    <w:rsid w:val="00147B2B"/>
    <w:rPr>
      <w:sz w:val="20"/>
      <w:szCs w:val="20"/>
    </w:rPr>
  </w:style>
  <w:style w:type="character" w:customStyle="1" w:styleId="FootnoteTextChar">
    <w:name w:val="Footnote Text Char"/>
    <w:basedOn w:val="DefaultParagraphFont"/>
    <w:link w:val="FootnoteText"/>
    <w:uiPriority w:val="99"/>
    <w:semiHidden/>
    <w:rsid w:val="00147B2B"/>
    <w:rPr>
      <w:rFonts w:ascii="Calibri" w:hAnsi="Calibri" w:cs="Calibri"/>
      <w:sz w:val="20"/>
      <w:szCs w:val="20"/>
    </w:rPr>
  </w:style>
  <w:style w:type="character" w:styleId="FootnoteReference">
    <w:name w:val="footnote reference"/>
    <w:basedOn w:val="DefaultParagraphFont"/>
    <w:semiHidden/>
    <w:unhideWhenUsed/>
    <w:rsid w:val="00147B2B"/>
    <w:rPr>
      <w:vertAlign w:val="superscript"/>
    </w:rPr>
  </w:style>
  <w:style w:type="character" w:styleId="Hyperlink">
    <w:name w:val="Hyperlink"/>
    <w:basedOn w:val="DefaultParagraphFont"/>
    <w:uiPriority w:val="99"/>
    <w:unhideWhenUsed/>
    <w:rsid w:val="00147B2B"/>
    <w:rPr>
      <w:color w:val="0563C1" w:themeColor="hyperlink"/>
      <w:u w:val="single"/>
    </w:rPr>
  </w:style>
  <w:style w:type="paragraph" w:customStyle="1" w:styleId="Body">
    <w:name w:val="Body"/>
    <w:rsid w:val="00295357"/>
    <w:pPr>
      <w:spacing w:line="256" w:lineRule="auto"/>
    </w:pPr>
    <w:rPr>
      <w:rFonts w:ascii="Calibri" w:eastAsia="Calibri" w:hAnsi="Calibri" w:cs="Calibri"/>
      <w:color w:val="000000"/>
      <w:u w:color="000000"/>
      <w:lang w:eastAsia="en-GB"/>
    </w:rPr>
  </w:style>
  <w:style w:type="character" w:customStyle="1" w:styleId="ListParagraphChar">
    <w:name w:val="List Paragraph Char"/>
    <w:aliases w:val="Bullets Char,Paragraphe de liste1 Char,Normal bullet 2 Char,Bullet List Char,Graph &amp; Table tite Char,Listaszerű bekezdés1 Char,List Paragraph à moi Char,Colorful List - Accent 11 Char,Medium Grid 1 - Accent 21 Char,Dot pt Char,L Char"/>
    <w:basedOn w:val="DefaultParagraphFont"/>
    <w:link w:val="ListParagraph"/>
    <w:uiPriority w:val="34"/>
    <w:locked/>
    <w:rsid w:val="0061573E"/>
    <w:rPr>
      <w:rFonts w:ascii="Calibri" w:hAnsi="Calibri" w:cs="Calibri"/>
    </w:rPr>
  </w:style>
  <w:style w:type="paragraph" w:customStyle="1" w:styleId="Default">
    <w:name w:val="Default"/>
    <w:rsid w:val="0012383A"/>
    <w:pPr>
      <w:autoSpaceDE w:val="0"/>
      <w:autoSpaceDN w:val="0"/>
      <w:adjustRightInd w:val="0"/>
      <w:spacing w:after="0" w:line="240" w:lineRule="auto"/>
    </w:pPr>
    <w:rPr>
      <w:rFonts w:ascii="Calibri" w:hAnsi="Calibri" w:cs="Calibri"/>
      <w:color w:val="000000"/>
      <w:sz w:val="24"/>
      <w:szCs w:val="24"/>
    </w:rPr>
  </w:style>
  <w:style w:type="character" w:styleId="Strong">
    <w:name w:val="Strong"/>
    <w:uiPriority w:val="22"/>
    <w:qFormat/>
    <w:rsid w:val="00403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7260">
      <w:bodyDiv w:val="1"/>
      <w:marLeft w:val="0"/>
      <w:marRight w:val="0"/>
      <w:marTop w:val="0"/>
      <w:marBottom w:val="0"/>
      <w:divBdr>
        <w:top w:val="none" w:sz="0" w:space="0" w:color="auto"/>
        <w:left w:val="none" w:sz="0" w:space="0" w:color="auto"/>
        <w:bottom w:val="none" w:sz="0" w:space="0" w:color="auto"/>
        <w:right w:val="none" w:sz="0" w:space="0" w:color="auto"/>
      </w:divBdr>
    </w:div>
    <w:div w:id="95027302">
      <w:bodyDiv w:val="1"/>
      <w:marLeft w:val="0"/>
      <w:marRight w:val="0"/>
      <w:marTop w:val="0"/>
      <w:marBottom w:val="0"/>
      <w:divBdr>
        <w:top w:val="none" w:sz="0" w:space="0" w:color="auto"/>
        <w:left w:val="none" w:sz="0" w:space="0" w:color="auto"/>
        <w:bottom w:val="none" w:sz="0" w:space="0" w:color="auto"/>
        <w:right w:val="none" w:sz="0" w:space="0" w:color="auto"/>
      </w:divBdr>
    </w:div>
    <w:div w:id="274095504">
      <w:bodyDiv w:val="1"/>
      <w:marLeft w:val="0"/>
      <w:marRight w:val="0"/>
      <w:marTop w:val="0"/>
      <w:marBottom w:val="0"/>
      <w:divBdr>
        <w:top w:val="none" w:sz="0" w:space="0" w:color="auto"/>
        <w:left w:val="none" w:sz="0" w:space="0" w:color="auto"/>
        <w:bottom w:val="none" w:sz="0" w:space="0" w:color="auto"/>
        <w:right w:val="none" w:sz="0" w:space="0" w:color="auto"/>
      </w:divBdr>
    </w:div>
    <w:div w:id="317616545">
      <w:bodyDiv w:val="1"/>
      <w:marLeft w:val="0"/>
      <w:marRight w:val="0"/>
      <w:marTop w:val="0"/>
      <w:marBottom w:val="0"/>
      <w:divBdr>
        <w:top w:val="none" w:sz="0" w:space="0" w:color="auto"/>
        <w:left w:val="none" w:sz="0" w:space="0" w:color="auto"/>
        <w:bottom w:val="none" w:sz="0" w:space="0" w:color="auto"/>
        <w:right w:val="none" w:sz="0" w:space="0" w:color="auto"/>
      </w:divBdr>
    </w:div>
    <w:div w:id="717705301">
      <w:bodyDiv w:val="1"/>
      <w:marLeft w:val="0"/>
      <w:marRight w:val="0"/>
      <w:marTop w:val="0"/>
      <w:marBottom w:val="0"/>
      <w:divBdr>
        <w:top w:val="none" w:sz="0" w:space="0" w:color="auto"/>
        <w:left w:val="none" w:sz="0" w:space="0" w:color="auto"/>
        <w:bottom w:val="none" w:sz="0" w:space="0" w:color="auto"/>
        <w:right w:val="none" w:sz="0" w:space="0" w:color="auto"/>
      </w:divBdr>
    </w:div>
    <w:div w:id="852691742">
      <w:bodyDiv w:val="1"/>
      <w:marLeft w:val="0"/>
      <w:marRight w:val="0"/>
      <w:marTop w:val="0"/>
      <w:marBottom w:val="0"/>
      <w:divBdr>
        <w:top w:val="none" w:sz="0" w:space="0" w:color="auto"/>
        <w:left w:val="none" w:sz="0" w:space="0" w:color="auto"/>
        <w:bottom w:val="none" w:sz="0" w:space="0" w:color="auto"/>
        <w:right w:val="none" w:sz="0" w:space="0" w:color="auto"/>
      </w:divBdr>
    </w:div>
    <w:div w:id="1307853129">
      <w:bodyDiv w:val="1"/>
      <w:marLeft w:val="0"/>
      <w:marRight w:val="0"/>
      <w:marTop w:val="0"/>
      <w:marBottom w:val="0"/>
      <w:divBdr>
        <w:top w:val="none" w:sz="0" w:space="0" w:color="auto"/>
        <w:left w:val="none" w:sz="0" w:space="0" w:color="auto"/>
        <w:bottom w:val="none" w:sz="0" w:space="0" w:color="auto"/>
        <w:right w:val="none" w:sz="0" w:space="0" w:color="auto"/>
      </w:divBdr>
    </w:div>
    <w:div w:id="170505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39EFF-8891-4BDE-A32F-31CBDC5C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KROLAK Natalia (EEAS-GENEVA)</dc:creator>
  <cp:keywords/>
  <dc:description/>
  <cp:lastModifiedBy>KROLAK Natalia (EEAS-GENEVA)</cp:lastModifiedBy>
  <cp:revision>24</cp:revision>
  <dcterms:created xsi:type="dcterms:W3CDTF">2024-02-22T07:40:00Z</dcterms:created>
  <dcterms:modified xsi:type="dcterms:W3CDTF">2025-02-28T10:49:00Z</dcterms:modified>
</cp:coreProperties>
</file>